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507E7">
        <w:tblPrEx>
          <w:tblCellMar>
            <w:top w:w="0" w:type="dxa"/>
            <w:bottom w:w="0" w:type="dxa"/>
          </w:tblCellMar>
        </w:tblPrEx>
        <w:trPr>
          <w:tblCellSpacing w:w="60" w:type="dxa"/>
        </w:trPr>
        <w:tc>
          <w:tcPr>
            <w:tcW w:w="1200" w:type="pct"/>
            <w:shd w:val="clear" w:color="auto" w:fill="E7F0F9"/>
          </w:tcPr>
          <w:p w:rsidR="004507E7" w:rsidRDefault="00266C35">
            <w:pPr>
              <w:spacing w:after="0" w:line="240" w:lineRule="auto"/>
            </w:pPr>
            <w:r>
              <w:rPr>
                <w:b/>
              </w:rPr>
              <w:t>RKP broj</w:t>
            </w:r>
          </w:p>
        </w:tc>
        <w:tc>
          <w:tcPr>
            <w:tcW w:w="0" w:type="auto"/>
            <w:shd w:val="clear" w:color="auto" w:fill="E7F0F9"/>
          </w:tcPr>
          <w:p w:rsidR="004507E7" w:rsidRDefault="00266C35">
            <w:pPr>
              <w:spacing w:after="0" w:line="240" w:lineRule="auto"/>
            </w:pPr>
            <w:r>
              <w:t>12719</w:t>
            </w:r>
          </w:p>
        </w:tc>
      </w:tr>
      <w:tr w:rsidR="004507E7">
        <w:tblPrEx>
          <w:tblCellMar>
            <w:top w:w="0" w:type="dxa"/>
            <w:bottom w:w="0" w:type="dxa"/>
          </w:tblCellMar>
        </w:tblPrEx>
        <w:trPr>
          <w:tblCellSpacing w:w="60" w:type="dxa"/>
        </w:trPr>
        <w:tc>
          <w:tcPr>
            <w:tcW w:w="1200" w:type="pct"/>
            <w:shd w:val="clear" w:color="auto" w:fill="E7F0F9"/>
          </w:tcPr>
          <w:p w:rsidR="004507E7" w:rsidRDefault="00266C35">
            <w:pPr>
              <w:spacing w:after="0" w:line="240" w:lineRule="auto"/>
            </w:pPr>
            <w:r>
              <w:rPr>
                <w:b/>
              </w:rPr>
              <w:t>Naziv obveznika</w:t>
            </w:r>
          </w:p>
        </w:tc>
        <w:tc>
          <w:tcPr>
            <w:tcW w:w="0" w:type="auto"/>
            <w:shd w:val="clear" w:color="auto" w:fill="E7F0F9"/>
          </w:tcPr>
          <w:p w:rsidR="004507E7" w:rsidRDefault="00266C35">
            <w:pPr>
              <w:spacing w:after="0" w:line="240" w:lineRule="auto"/>
            </w:pPr>
            <w:r>
              <w:t>OSNOVNA ŠKOLA PRIMOŠTEN</w:t>
            </w:r>
          </w:p>
        </w:tc>
      </w:tr>
      <w:tr w:rsidR="004507E7">
        <w:tblPrEx>
          <w:tblCellMar>
            <w:top w:w="0" w:type="dxa"/>
            <w:bottom w:w="0" w:type="dxa"/>
          </w:tblCellMar>
        </w:tblPrEx>
        <w:trPr>
          <w:tblCellSpacing w:w="60" w:type="dxa"/>
        </w:trPr>
        <w:tc>
          <w:tcPr>
            <w:tcW w:w="1200" w:type="pct"/>
            <w:shd w:val="clear" w:color="auto" w:fill="E7F0F9"/>
          </w:tcPr>
          <w:p w:rsidR="004507E7" w:rsidRDefault="00266C35">
            <w:pPr>
              <w:spacing w:after="0" w:line="240" w:lineRule="auto"/>
            </w:pPr>
            <w:r>
              <w:rPr>
                <w:b/>
              </w:rPr>
              <w:t>Razina</w:t>
            </w:r>
          </w:p>
        </w:tc>
        <w:tc>
          <w:tcPr>
            <w:tcW w:w="0" w:type="auto"/>
            <w:shd w:val="clear" w:color="auto" w:fill="E7F0F9"/>
          </w:tcPr>
          <w:p w:rsidR="004507E7" w:rsidRDefault="00266C35">
            <w:pPr>
              <w:spacing w:after="0" w:line="240" w:lineRule="auto"/>
            </w:pPr>
            <w:r>
              <w:t>31</w:t>
            </w:r>
          </w:p>
        </w:tc>
      </w:tr>
    </w:tbl>
    <w:p w:rsidR="004507E7" w:rsidRDefault="00266C35">
      <w:r>
        <w:br/>
      </w:r>
    </w:p>
    <w:p w:rsidR="004507E7" w:rsidRDefault="00266C35">
      <w:pPr>
        <w:spacing w:line="240" w:lineRule="auto"/>
        <w:jc w:val="center"/>
      </w:pPr>
      <w:r>
        <w:rPr>
          <w:b/>
          <w:sz w:val="28"/>
        </w:rPr>
        <w:t>BILJEŠKE UZ FINANCIJSKE IZVJEŠTAJE</w:t>
      </w:r>
    </w:p>
    <w:p w:rsidR="004507E7" w:rsidRDefault="00266C35">
      <w:pPr>
        <w:spacing w:line="240" w:lineRule="auto"/>
        <w:jc w:val="center"/>
      </w:pPr>
      <w:r>
        <w:rPr>
          <w:b/>
          <w:sz w:val="28"/>
        </w:rPr>
        <w:t>ZA RAZDOBLJE</w:t>
      </w:r>
    </w:p>
    <w:p w:rsidR="004507E7" w:rsidRDefault="00266C35">
      <w:pPr>
        <w:spacing w:line="240" w:lineRule="auto"/>
        <w:jc w:val="center"/>
      </w:pPr>
      <w:r>
        <w:rPr>
          <w:b/>
          <w:sz w:val="28"/>
        </w:rPr>
        <w:t>I - VI 2026.</w:t>
      </w:r>
    </w:p>
    <w:p w:rsidR="004507E7" w:rsidRDefault="004507E7"/>
    <w:p w:rsidR="004507E7" w:rsidRDefault="00266C35">
      <w:pPr>
        <w:keepNext/>
        <w:spacing w:line="240" w:lineRule="auto"/>
        <w:jc w:val="center"/>
      </w:pPr>
      <w:r>
        <w:rPr>
          <w:b/>
          <w:sz w:val="28"/>
        </w:rPr>
        <w:t>Izvještaj o prihodima i rashodima, primicima i izdacima</w:t>
      </w:r>
    </w:p>
    <w:p w:rsidR="004507E7" w:rsidRDefault="00266C35">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7E7">
        <w:tblPrEx>
          <w:tblCellMar>
            <w:top w:w="0" w:type="dxa"/>
            <w:bottom w:w="0" w:type="dxa"/>
          </w:tblCellMar>
        </w:tblPrEx>
        <w:trPr>
          <w:cantSplit/>
        </w:trPr>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Indeks (%)</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6</w:t>
            </w:r>
          </w:p>
        </w:tc>
        <w:tc>
          <w:tcPr>
            <w:tcW w:w="3180" w:type="dxa"/>
            <w:tcMar>
              <w:top w:w="0" w:type="dxa"/>
              <w:bottom w:w="0" w:type="dxa"/>
            </w:tcMar>
            <w:vAlign w:val="center"/>
          </w:tcPr>
          <w:p w:rsidR="004507E7" w:rsidRDefault="00266C35">
            <w:pPr>
              <w:keepNext/>
              <w:keepLines/>
              <w:spacing w:after="0" w:line="240" w:lineRule="auto"/>
            </w:pPr>
            <w:r>
              <w:rPr>
                <w:sz w:val="18"/>
              </w:rPr>
              <w:t>PRIHODI POSLOVANJA (šifre 61+62+63+64+65+66+67+68)</w:t>
            </w:r>
          </w:p>
        </w:tc>
        <w:tc>
          <w:tcPr>
            <w:tcW w:w="700" w:type="dxa"/>
            <w:tcMar>
              <w:top w:w="0" w:type="dxa"/>
              <w:bottom w:w="0" w:type="dxa"/>
            </w:tcMar>
            <w:vAlign w:val="center"/>
          </w:tcPr>
          <w:p w:rsidR="004507E7" w:rsidRDefault="00266C35">
            <w:pPr>
              <w:keepNext/>
              <w:keepLines/>
              <w:spacing w:after="0" w:line="240" w:lineRule="auto"/>
            </w:pPr>
            <w:r>
              <w:rPr>
                <w:sz w:val="18"/>
              </w:rPr>
              <w:t>6</w:t>
            </w:r>
          </w:p>
        </w:tc>
        <w:tc>
          <w:tcPr>
            <w:tcW w:w="1860" w:type="dxa"/>
            <w:tcMar>
              <w:top w:w="0" w:type="dxa"/>
              <w:bottom w:w="0" w:type="dxa"/>
            </w:tcMar>
            <w:vAlign w:val="center"/>
          </w:tcPr>
          <w:p w:rsidR="004507E7" w:rsidRDefault="00266C35">
            <w:pPr>
              <w:keepNext/>
              <w:keepLines/>
              <w:spacing w:after="0" w:line="240" w:lineRule="auto"/>
              <w:jc w:val="right"/>
            </w:pPr>
            <w:r>
              <w:rPr>
                <w:sz w:val="18"/>
              </w:rPr>
              <w:t>513.913,27</w:t>
            </w:r>
          </w:p>
        </w:tc>
        <w:tc>
          <w:tcPr>
            <w:tcW w:w="1860" w:type="dxa"/>
            <w:tcMar>
              <w:top w:w="0" w:type="dxa"/>
              <w:bottom w:w="0" w:type="dxa"/>
            </w:tcMar>
            <w:vAlign w:val="center"/>
          </w:tcPr>
          <w:p w:rsidR="004507E7" w:rsidRDefault="00266C35">
            <w:pPr>
              <w:keepNext/>
              <w:keepLines/>
              <w:spacing w:after="0" w:line="240" w:lineRule="auto"/>
              <w:jc w:val="right"/>
            </w:pPr>
            <w:r>
              <w:rPr>
                <w:sz w:val="18"/>
              </w:rPr>
              <w:t>529.754,28</w:t>
            </w:r>
          </w:p>
        </w:tc>
        <w:tc>
          <w:tcPr>
            <w:tcW w:w="700" w:type="dxa"/>
            <w:tcMar>
              <w:top w:w="0" w:type="dxa"/>
              <w:bottom w:w="0" w:type="dxa"/>
            </w:tcMar>
            <w:vAlign w:val="center"/>
          </w:tcPr>
          <w:p w:rsidR="004507E7" w:rsidRDefault="00266C35">
            <w:pPr>
              <w:keepNext/>
              <w:keepLines/>
              <w:spacing w:after="0" w:line="240" w:lineRule="auto"/>
              <w:jc w:val="right"/>
            </w:pPr>
            <w:r>
              <w:rPr>
                <w:sz w:val="18"/>
              </w:rPr>
              <w:t>103,1</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3</w:t>
            </w:r>
          </w:p>
        </w:tc>
        <w:tc>
          <w:tcPr>
            <w:tcW w:w="3180" w:type="dxa"/>
            <w:tcMar>
              <w:top w:w="0" w:type="dxa"/>
              <w:bottom w:w="0" w:type="dxa"/>
            </w:tcMar>
            <w:vAlign w:val="center"/>
          </w:tcPr>
          <w:p w:rsidR="004507E7" w:rsidRDefault="00266C35">
            <w:pPr>
              <w:keepNext/>
              <w:keepLines/>
              <w:spacing w:after="0" w:line="240" w:lineRule="auto"/>
            </w:pPr>
            <w:r>
              <w:rPr>
                <w:sz w:val="18"/>
              </w:rPr>
              <w:t>RASHODI POSLOVANJA (šifre 31+32+34+35+36+37+38)</w:t>
            </w:r>
          </w:p>
        </w:tc>
        <w:tc>
          <w:tcPr>
            <w:tcW w:w="700" w:type="dxa"/>
            <w:tcMar>
              <w:top w:w="0" w:type="dxa"/>
              <w:bottom w:w="0" w:type="dxa"/>
            </w:tcMar>
            <w:vAlign w:val="center"/>
          </w:tcPr>
          <w:p w:rsidR="004507E7" w:rsidRDefault="00266C35">
            <w:pPr>
              <w:keepNext/>
              <w:keepLines/>
              <w:spacing w:after="0" w:line="240" w:lineRule="auto"/>
            </w:pPr>
            <w:r>
              <w:rPr>
                <w:sz w:val="18"/>
              </w:rPr>
              <w:t>3</w:t>
            </w:r>
          </w:p>
        </w:tc>
        <w:tc>
          <w:tcPr>
            <w:tcW w:w="1860" w:type="dxa"/>
            <w:tcMar>
              <w:top w:w="0" w:type="dxa"/>
              <w:bottom w:w="0" w:type="dxa"/>
            </w:tcMar>
            <w:vAlign w:val="center"/>
          </w:tcPr>
          <w:p w:rsidR="004507E7" w:rsidRDefault="00266C35">
            <w:pPr>
              <w:keepNext/>
              <w:keepLines/>
              <w:spacing w:after="0" w:line="240" w:lineRule="auto"/>
              <w:jc w:val="right"/>
            </w:pPr>
            <w:r>
              <w:rPr>
                <w:sz w:val="18"/>
              </w:rPr>
              <w:t>581.969,92</w:t>
            </w:r>
          </w:p>
        </w:tc>
        <w:tc>
          <w:tcPr>
            <w:tcW w:w="1860" w:type="dxa"/>
            <w:tcMar>
              <w:top w:w="0" w:type="dxa"/>
              <w:bottom w:w="0" w:type="dxa"/>
            </w:tcMar>
            <w:vAlign w:val="center"/>
          </w:tcPr>
          <w:p w:rsidR="004507E7" w:rsidRDefault="00266C35">
            <w:pPr>
              <w:keepNext/>
              <w:keepLines/>
              <w:spacing w:after="0" w:line="240" w:lineRule="auto"/>
              <w:jc w:val="right"/>
            </w:pPr>
            <w:r>
              <w:rPr>
                <w:sz w:val="18"/>
              </w:rPr>
              <w:t>530.353,77</w:t>
            </w:r>
          </w:p>
        </w:tc>
        <w:tc>
          <w:tcPr>
            <w:tcW w:w="700" w:type="dxa"/>
            <w:tcMar>
              <w:top w:w="0" w:type="dxa"/>
              <w:bottom w:w="0" w:type="dxa"/>
            </w:tcMar>
            <w:vAlign w:val="center"/>
          </w:tcPr>
          <w:p w:rsidR="004507E7" w:rsidRDefault="00266C35">
            <w:pPr>
              <w:keepNext/>
              <w:keepLines/>
              <w:spacing w:after="0" w:line="240" w:lineRule="auto"/>
              <w:jc w:val="right"/>
            </w:pPr>
            <w:r>
              <w:rPr>
                <w:sz w:val="18"/>
              </w:rPr>
              <w:t>91,1</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4507E7">
            <w:pPr>
              <w:keepNext/>
              <w:keepLines/>
              <w:spacing w:after="0" w:line="240" w:lineRule="auto"/>
            </w:pPr>
          </w:p>
        </w:tc>
        <w:tc>
          <w:tcPr>
            <w:tcW w:w="3180" w:type="dxa"/>
            <w:tcMar>
              <w:top w:w="0" w:type="dxa"/>
              <w:bottom w:w="0" w:type="dxa"/>
            </w:tcMar>
            <w:vAlign w:val="center"/>
          </w:tcPr>
          <w:p w:rsidR="004507E7" w:rsidRDefault="00266C35">
            <w:pPr>
              <w:keepNext/>
              <w:keepLines/>
              <w:spacing w:after="0" w:line="240" w:lineRule="auto"/>
            </w:pPr>
            <w:r>
              <w:rPr>
                <w:b/>
                <w:sz w:val="18"/>
              </w:rPr>
              <w:t>MANJAK PRIHODA POSLOVANJA (šifre Z005-6)</w:t>
            </w:r>
          </w:p>
        </w:tc>
        <w:tc>
          <w:tcPr>
            <w:tcW w:w="700" w:type="dxa"/>
            <w:tcMar>
              <w:top w:w="0" w:type="dxa"/>
              <w:bottom w:w="0" w:type="dxa"/>
            </w:tcMar>
            <w:vAlign w:val="center"/>
          </w:tcPr>
          <w:p w:rsidR="004507E7" w:rsidRDefault="00266C35">
            <w:pPr>
              <w:keepNext/>
              <w:keepLines/>
              <w:spacing w:after="0" w:line="240" w:lineRule="auto"/>
            </w:pPr>
            <w:r>
              <w:rPr>
                <w:b/>
                <w:sz w:val="18"/>
              </w:rPr>
              <w:t>Y001</w:t>
            </w:r>
          </w:p>
        </w:tc>
        <w:tc>
          <w:tcPr>
            <w:tcW w:w="1860" w:type="dxa"/>
            <w:tcMar>
              <w:top w:w="0" w:type="dxa"/>
              <w:bottom w:w="0" w:type="dxa"/>
            </w:tcMar>
            <w:vAlign w:val="center"/>
          </w:tcPr>
          <w:p w:rsidR="004507E7" w:rsidRDefault="00266C35">
            <w:pPr>
              <w:keepNext/>
              <w:keepLines/>
              <w:spacing w:after="0" w:line="240" w:lineRule="auto"/>
              <w:jc w:val="right"/>
            </w:pPr>
            <w:r>
              <w:rPr>
                <w:b/>
                <w:sz w:val="18"/>
              </w:rPr>
              <w:t>68.056,65</w:t>
            </w:r>
          </w:p>
        </w:tc>
        <w:tc>
          <w:tcPr>
            <w:tcW w:w="1860" w:type="dxa"/>
            <w:tcMar>
              <w:top w:w="0" w:type="dxa"/>
              <w:bottom w:w="0" w:type="dxa"/>
            </w:tcMar>
            <w:vAlign w:val="center"/>
          </w:tcPr>
          <w:p w:rsidR="004507E7" w:rsidRDefault="00266C35">
            <w:pPr>
              <w:keepNext/>
              <w:keepLines/>
              <w:spacing w:after="0" w:line="240" w:lineRule="auto"/>
              <w:jc w:val="right"/>
            </w:pPr>
            <w:r>
              <w:rPr>
                <w:b/>
                <w:sz w:val="18"/>
              </w:rPr>
              <w:t>599,49</w:t>
            </w:r>
          </w:p>
        </w:tc>
        <w:tc>
          <w:tcPr>
            <w:tcW w:w="700" w:type="dxa"/>
            <w:tcMar>
              <w:top w:w="0" w:type="dxa"/>
              <w:bottom w:w="0" w:type="dxa"/>
            </w:tcMar>
            <w:vAlign w:val="center"/>
          </w:tcPr>
          <w:p w:rsidR="004507E7" w:rsidRDefault="00266C35">
            <w:pPr>
              <w:keepNext/>
              <w:keepLines/>
              <w:spacing w:after="0" w:line="240" w:lineRule="auto"/>
              <w:jc w:val="right"/>
            </w:pPr>
            <w:r>
              <w:rPr>
                <w:b/>
                <w:sz w:val="18"/>
              </w:rPr>
              <w:t>0,9</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7</w:t>
            </w:r>
          </w:p>
        </w:tc>
        <w:tc>
          <w:tcPr>
            <w:tcW w:w="3180" w:type="dxa"/>
            <w:tcMar>
              <w:top w:w="0" w:type="dxa"/>
              <w:bottom w:w="0" w:type="dxa"/>
            </w:tcMar>
            <w:vAlign w:val="center"/>
          </w:tcPr>
          <w:p w:rsidR="004507E7" w:rsidRDefault="00266C35">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4507E7" w:rsidRDefault="00266C35">
            <w:pPr>
              <w:keepNext/>
              <w:keepLines/>
              <w:spacing w:after="0" w:line="240" w:lineRule="auto"/>
            </w:pPr>
            <w:r>
              <w:rPr>
                <w:sz w:val="18"/>
              </w:rPr>
              <w:t>7</w:t>
            </w:r>
          </w:p>
        </w:tc>
        <w:tc>
          <w:tcPr>
            <w:tcW w:w="1860" w:type="dxa"/>
            <w:tcMar>
              <w:top w:w="0" w:type="dxa"/>
              <w:bottom w:w="0" w:type="dxa"/>
            </w:tcMar>
            <w:vAlign w:val="center"/>
          </w:tcPr>
          <w:p w:rsidR="004507E7" w:rsidRDefault="00266C35">
            <w:pPr>
              <w:keepNext/>
              <w:keepLines/>
              <w:spacing w:after="0" w:line="240" w:lineRule="auto"/>
              <w:jc w:val="right"/>
            </w:pPr>
            <w:r>
              <w:rPr>
                <w:sz w:val="18"/>
              </w:rPr>
              <w:t>0,00</w:t>
            </w:r>
          </w:p>
        </w:tc>
        <w:tc>
          <w:tcPr>
            <w:tcW w:w="1860" w:type="dxa"/>
            <w:tcMar>
              <w:top w:w="0" w:type="dxa"/>
              <w:bottom w:w="0" w:type="dxa"/>
            </w:tcMar>
            <w:vAlign w:val="center"/>
          </w:tcPr>
          <w:p w:rsidR="004507E7" w:rsidRDefault="00266C35">
            <w:pPr>
              <w:keepNext/>
              <w:keepLines/>
              <w:spacing w:after="0" w:line="240" w:lineRule="auto"/>
              <w:jc w:val="right"/>
            </w:pPr>
            <w:r>
              <w:rPr>
                <w:sz w:val="18"/>
              </w:rPr>
              <w:t>0,00</w:t>
            </w:r>
          </w:p>
        </w:tc>
        <w:tc>
          <w:tcPr>
            <w:tcW w:w="700" w:type="dxa"/>
            <w:tcMar>
              <w:top w:w="0" w:type="dxa"/>
              <w:bottom w:w="0" w:type="dxa"/>
            </w:tcMar>
            <w:vAlign w:val="center"/>
          </w:tcPr>
          <w:p w:rsidR="004507E7" w:rsidRDefault="00266C35">
            <w:pPr>
              <w:keepNext/>
              <w:keepLines/>
              <w:spacing w:after="0" w:line="240" w:lineRule="auto"/>
              <w:jc w:val="right"/>
            </w:pPr>
            <w:r>
              <w:rPr>
                <w:sz w:val="18"/>
              </w:rPr>
              <w:t>-</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4</w:t>
            </w:r>
          </w:p>
        </w:tc>
        <w:tc>
          <w:tcPr>
            <w:tcW w:w="3180" w:type="dxa"/>
            <w:tcMar>
              <w:top w:w="0" w:type="dxa"/>
              <w:bottom w:w="0" w:type="dxa"/>
            </w:tcMar>
            <w:vAlign w:val="center"/>
          </w:tcPr>
          <w:p w:rsidR="004507E7" w:rsidRDefault="00266C35">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4507E7" w:rsidRDefault="00266C35">
            <w:pPr>
              <w:keepNext/>
              <w:keepLines/>
              <w:spacing w:after="0" w:line="240" w:lineRule="auto"/>
            </w:pPr>
            <w:r>
              <w:rPr>
                <w:sz w:val="18"/>
              </w:rPr>
              <w:t>4</w:t>
            </w:r>
          </w:p>
        </w:tc>
        <w:tc>
          <w:tcPr>
            <w:tcW w:w="1860" w:type="dxa"/>
            <w:tcMar>
              <w:top w:w="0" w:type="dxa"/>
              <w:bottom w:w="0" w:type="dxa"/>
            </w:tcMar>
            <w:vAlign w:val="center"/>
          </w:tcPr>
          <w:p w:rsidR="004507E7" w:rsidRDefault="00266C35">
            <w:pPr>
              <w:keepNext/>
              <w:keepLines/>
              <w:spacing w:after="0" w:line="240" w:lineRule="auto"/>
              <w:jc w:val="right"/>
            </w:pPr>
            <w:r>
              <w:rPr>
                <w:sz w:val="18"/>
              </w:rPr>
              <w:t>1.776,28</w:t>
            </w:r>
          </w:p>
        </w:tc>
        <w:tc>
          <w:tcPr>
            <w:tcW w:w="1860" w:type="dxa"/>
            <w:tcMar>
              <w:top w:w="0" w:type="dxa"/>
              <w:bottom w:w="0" w:type="dxa"/>
            </w:tcMar>
            <w:vAlign w:val="center"/>
          </w:tcPr>
          <w:p w:rsidR="004507E7" w:rsidRDefault="00266C35">
            <w:pPr>
              <w:keepNext/>
              <w:keepLines/>
              <w:spacing w:after="0" w:line="240" w:lineRule="auto"/>
              <w:jc w:val="right"/>
            </w:pPr>
            <w:r>
              <w:rPr>
                <w:sz w:val="18"/>
              </w:rPr>
              <w:t>9.250,00</w:t>
            </w:r>
          </w:p>
        </w:tc>
        <w:tc>
          <w:tcPr>
            <w:tcW w:w="700" w:type="dxa"/>
            <w:tcMar>
              <w:top w:w="0" w:type="dxa"/>
              <w:bottom w:w="0" w:type="dxa"/>
            </w:tcMar>
            <w:vAlign w:val="center"/>
          </w:tcPr>
          <w:p w:rsidR="004507E7" w:rsidRDefault="00266C35">
            <w:pPr>
              <w:keepNext/>
              <w:keepLines/>
              <w:spacing w:after="0" w:line="240" w:lineRule="auto"/>
              <w:jc w:val="right"/>
            </w:pPr>
            <w:r>
              <w:rPr>
                <w:sz w:val="18"/>
              </w:rPr>
              <w:t>520,8</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4507E7">
            <w:pPr>
              <w:keepNext/>
              <w:keepLines/>
              <w:spacing w:after="0" w:line="240" w:lineRule="auto"/>
            </w:pPr>
          </w:p>
        </w:tc>
        <w:tc>
          <w:tcPr>
            <w:tcW w:w="3180" w:type="dxa"/>
            <w:tcMar>
              <w:top w:w="0" w:type="dxa"/>
              <w:bottom w:w="0" w:type="dxa"/>
            </w:tcMar>
            <w:vAlign w:val="center"/>
          </w:tcPr>
          <w:p w:rsidR="004507E7" w:rsidRDefault="00266C35">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4507E7" w:rsidRDefault="00266C35">
            <w:pPr>
              <w:keepNext/>
              <w:keepLines/>
              <w:spacing w:after="0" w:line="240" w:lineRule="auto"/>
            </w:pPr>
            <w:r>
              <w:rPr>
                <w:b/>
                <w:sz w:val="18"/>
              </w:rPr>
              <w:t>Y002</w:t>
            </w:r>
          </w:p>
        </w:tc>
        <w:tc>
          <w:tcPr>
            <w:tcW w:w="1860" w:type="dxa"/>
            <w:tcMar>
              <w:top w:w="0" w:type="dxa"/>
              <w:bottom w:w="0" w:type="dxa"/>
            </w:tcMar>
            <w:vAlign w:val="center"/>
          </w:tcPr>
          <w:p w:rsidR="004507E7" w:rsidRDefault="00266C35">
            <w:pPr>
              <w:keepNext/>
              <w:keepLines/>
              <w:spacing w:after="0" w:line="240" w:lineRule="auto"/>
              <w:jc w:val="right"/>
            </w:pPr>
            <w:r>
              <w:rPr>
                <w:b/>
                <w:sz w:val="18"/>
              </w:rPr>
              <w:t>1.776,28</w:t>
            </w:r>
          </w:p>
        </w:tc>
        <w:tc>
          <w:tcPr>
            <w:tcW w:w="1860" w:type="dxa"/>
            <w:tcMar>
              <w:top w:w="0" w:type="dxa"/>
              <w:bottom w:w="0" w:type="dxa"/>
            </w:tcMar>
            <w:vAlign w:val="center"/>
          </w:tcPr>
          <w:p w:rsidR="004507E7" w:rsidRDefault="00266C35">
            <w:pPr>
              <w:keepNext/>
              <w:keepLines/>
              <w:spacing w:after="0" w:line="240" w:lineRule="auto"/>
              <w:jc w:val="right"/>
            </w:pPr>
            <w:r>
              <w:rPr>
                <w:b/>
                <w:sz w:val="18"/>
              </w:rPr>
              <w:t>9.250,00</w:t>
            </w:r>
          </w:p>
        </w:tc>
        <w:tc>
          <w:tcPr>
            <w:tcW w:w="700" w:type="dxa"/>
            <w:tcMar>
              <w:top w:w="0" w:type="dxa"/>
              <w:bottom w:w="0" w:type="dxa"/>
            </w:tcMar>
            <w:vAlign w:val="center"/>
          </w:tcPr>
          <w:p w:rsidR="004507E7" w:rsidRDefault="00266C35">
            <w:pPr>
              <w:keepNext/>
              <w:keepLines/>
              <w:spacing w:after="0" w:line="240" w:lineRule="auto"/>
              <w:jc w:val="right"/>
            </w:pPr>
            <w:r>
              <w:rPr>
                <w:b/>
                <w:sz w:val="18"/>
              </w:rPr>
              <w:t>520,8</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8</w:t>
            </w:r>
          </w:p>
        </w:tc>
        <w:tc>
          <w:tcPr>
            <w:tcW w:w="3180" w:type="dxa"/>
            <w:tcMar>
              <w:top w:w="0" w:type="dxa"/>
              <w:bottom w:w="0" w:type="dxa"/>
            </w:tcMar>
            <w:vAlign w:val="center"/>
          </w:tcPr>
          <w:p w:rsidR="004507E7" w:rsidRDefault="00266C35">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4507E7" w:rsidRDefault="00266C35">
            <w:pPr>
              <w:keepNext/>
              <w:keepLines/>
              <w:spacing w:after="0" w:line="240" w:lineRule="auto"/>
            </w:pPr>
            <w:r>
              <w:rPr>
                <w:sz w:val="18"/>
              </w:rPr>
              <w:t>8</w:t>
            </w:r>
          </w:p>
        </w:tc>
        <w:tc>
          <w:tcPr>
            <w:tcW w:w="1860" w:type="dxa"/>
            <w:tcMar>
              <w:top w:w="0" w:type="dxa"/>
              <w:bottom w:w="0" w:type="dxa"/>
            </w:tcMar>
            <w:vAlign w:val="center"/>
          </w:tcPr>
          <w:p w:rsidR="004507E7" w:rsidRDefault="00266C35">
            <w:pPr>
              <w:keepNext/>
              <w:keepLines/>
              <w:spacing w:after="0" w:line="240" w:lineRule="auto"/>
              <w:jc w:val="right"/>
            </w:pPr>
            <w:r>
              <w:rPr>
                <w:sz w:val="18"/>
              </w:rPr>
              <w:t>0,00</w:t>
            </w:r>
          </w:p>
        </w:tc>
        <w:tc>
          <w:tcPr>
            <w:tcW w:w="1860" w:type="dxa"/>
            <w:tcMar>
              <w:top w:w="0" w:type="dxa"/>
              <w:bottom w:w="0" w:type="dxa"/>
            </w:tcMar>
            <w:vAlign w:val="center"/>
          </w:tcPr>
          <w:p w:rsidR="004507E7" w:rsidRDefault="00266C35">
            <w:pPr>
              <w:keepNext/>
              <w:keepLines/>
              <w:spacing w:after="0" w:line="240" w:lineRule="auto"/>
              <w:jc w:val="right"/>
            </w:pPr>
            <w:r>
              <w:rPr>
                <w:sz w:val="18"/>
              </w:rPr>
              <w:t>0,00</w:t>
            </w:r>
          </w:p>
        </w:tc>
        <w:tc>
          <w:tcPr>
            <w:tcW w:w="700" w:type="dxa"/>
            <w:tcMar>
              <w:top w:w="0" w:type="dxa"/>
              <w:bottom w:w="0" w:type="dxa"/>
            </w:tcMar>
            <w:vAlign w:val="center"/>
          </w:tcPr>
          <w:p w:rsidR="004507E7" w:rsidRDefault="00266C35">
            <w:pPr>
              <w:keepNext/>
              <w:keepLines/>
              <w:spacing w:after="0" w:line="240" w:lineRule="auto"/>
              <w:jc w:val="right"/>
            </w:pPr>
            <w:r>
              <w:rPr>
                <w:sz w:val="18"/>
              </w:rPr>
              <w:t>-</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5</w:t>
            </w:r>
          </w:p>
        </w:tc>
        <w:tc>
          <w:tcPr>
            <w:tcW w:w="3180" w:type="dxa"/>
            <w:tcMar>
              <w:top w:w="0" w:type="dxa"/>
              <w:bottom w:w="0" w:type="dxa"/>
            </w:tcMar>
            <w:vAlign w:val="center"/>
          </w:tcPr>
          <w:p w:rsidR="004507E7" w:rsidRDefault="00266C35">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4507E7" w:rsidRDefault="00266C35">
            <w:pPr>
              <w:keepNext/>
              <w:keepLines/>
              <w:spacing w:after="0" w:line="240" w:lineRule="auto"/>
            </w:pPr>
            <w:r>
              <w:rPr>
                <w:sz w:val="18"/>
              </w:rPr>
              <w:t>5</w:t>
            </w:r>
          </w:p>
        </w:tc>
        <w:tc>
          <w:tcPr>
            <w:tcW w:w="1860" w:type="dxa"/>
            <w:tcMar>
              <w:top w:w="0" w:type="dxa"/>
              <w:bottom w:w="0" w:type="dxa"/>
            </w:tcMar>
            <w:vAlign w:val="center"/>
          </w:tcPr>
          <w:p w:rsidR="004507E7" w:rsidRDefault="00266C35">
            <w:pPr>
              <w:keepNext/>
              <w:keepLines/>
              <w:spacing w:after="0" w:line="240" w:lineRule="auto"/>
              <w:jc w:val="right"/>
            </w:pPr>
            <w:r>
              <w:rPr>
                <w:sz w:val="18"/>
              </w:rPr>
              <w:t>0,00</w:t>
            </w:r>
          </w:p>
        </w:tc>
        <w:tc>
          <w:tcPr>
            <w:tcW w:w="1860" w:type="dxa"/>
            <w:tcMar>
              <w:top w:w="0" w:type="dxa"/>
              <w:bottom w:w="0" w:type="dxa"/>
            </w:tcMar>
            <w:vAlign w:val="center"/>
          </w:tcPr>
          <w:p w:rsidR="004507E7" w:rsidRDefault="00266C35">
            <w:pPr>
              <w:keepNext/>
              <w:keepLines/>
              <w:spacing w:after="0" w:line="240" w:lineRule="auto"/>
              <w:jc w:val="right"/>
            </w:pPr>
            <w:r>
              <w:rPr>
                <w:sz w:val="18"/>
              </w:rPr>
              <w:t>0,00</w:t>
            </w:r>
          </w:p>
        </w:tc>
        <w:tc>
          <w:tcPr>
            <w:tcW w:w="700" w:type="dxa"/>
            <w:tcMar>
              <w:top w:w="0" w:type="dxa"/>
              <w:bottom w:w="0" w:type="dxa"/>
            </w:tcMar>
            <w:vAlign w:val="center"/>
          </w:tcPr>
          <w:p w:rsidR="004507E7" w:rsidRDefault="00266C35">
            <w:pPr>
              <w:keepNext/>
              <w:keepLines/>
              <w:spacing w:after="0" w:line="240" w:lineRule="auto"/>
              <w:jc w:val="right"/>
            </w:pPr>
            <w:r>
              <w:rPr>
                <w:sz w:val="18"/>
              </w:rPr>
              <w:t>-</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4507E7">
            <w:pPr>
              <w:keepNext/>
              <w:keepLines/>
              <w:spacing w:after="0" w:line="240" w:lineRule="auto"/>
            </w:pPr>
          </w:p>
        </w:tc>
        <w:tc>
          <w:tcPr>
            <w:tcW w:w="3180" w:type="dxa"/>
            <w:tcMar>
              <w:top w:w="0" w:type="dxa"/>
              <w:bottom w:w="0" w:type="dxa"/>
            </w:tcMar>
            <w:vAlign w:val="center"/>
          </w:tcPr>
          <w:p w:rsidR="004507E7" w:rsidRDefault="00266C35">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4507E7" w:rsidRDefault="00266C35">
            <w:pPr>
              <w:keepNext/>
              <w:keepLines/>
              <w:spacing w:after="0" w:line="240" w:lineRule="auto"/>
            </w:pPr>
            <w:r>
              <w:rPr>
                <w:b/>
                <w:sz w:val="18"/>
              </w:rPr>
              <w:t>X003, Y003</w:t>
            </w:r>
          </w:p>
        </w:tc>
        <w:tc>
          <w:tcPr>
            <w:tcW w:w="1860" w:type="dxa"/>
            <w:tcMar>
              <w:top w:w="0" w:type="dxa"/>
              <w:bottom w:w="0" w:type="dxa"/>
            </w:tcMar>
            <w:vAlign w:val="center"/>
          </w:tcPr>
          <w:p w:rsidR="004507E7" w:rsidRDefault="00266C35">
            <w:pPr>
              <w:keepNext/>
              <w:keepLines/>
              <w:spacing w:after="0" w:line="240" w:lineRule="auto"/>
              <w:jc w:val="right"/>
            </w:pPr>
            <w:r>
              <w:rPr>
                <w:b/>
                <w:sz w:val="18"/>
              </w:rPr>
              <w:t>0,00</w:t>
            </w:r>
          </w:p>
        </w:tc>
        <w:tc>
          <w:tcPr>
            <w:tcW w:w="1860" w:type="dxa"/>
            <w:tcMar>
              <w:top w:w="0" w:type="dxa"/>
              <w:bottom w:w="0" w:type="dxa"/>
            </w:tcMar>
            <w:vAlign w:val="center"/>
          </w:tcPr>
          <w:p w:rsidR="004507E7" w:rsidRDefault="00266C35">
            <w:pPr>
              <w:keepNext/>
              <w:keepLines/>
              <w:spacing w:after="0" w:line="240" w:lineRule="auto"/>
              <w:jc w:val="right"/>
            </w:pPr>
            <w:r>
              <w:rPr>
                <w:b/>
                <w:sz w:val="18"/>
              </w:rPr>
              <w:t>0,00</w:t>
            </w:r>
          </w:p>
        </w:tc>
        <w:tc>
          <w:tcPr>
            <w:tcW w:w="700" w:type="dxa"/>
            <w:tcMar>
              <w:top w:w="0" w:type="dxa"/>
              <w:bottom w:w="0" w:type="dxa"/>
            </w:tcMar>
            <w:vAlign w:val="center"/>
          </w:tcPr>
          <w:p w:rsidR="004507E7" w:rsidRDefault="00266C35">
            <w:pPr>
              <w:keepNext/>
              <w:keepLines/>
              <w:spacing w:after="0" w:line="240" w:lineRule="auto"/>
              <w:jc w:val="right"/>
            </w:pPr>
            <w:r>
              <w:rPr>
                <w:b/>
                <w:sz w:val="18"/>
              </w:rPr>
              <w:t>-</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4507E7">
            <w:pPr>
              <w:keepNext/>
              <w:keepLines/>
              <w:spacing w:after="0" w:line="240" w:lineRule="auto"/>
            </w:pPr>
          </w:p>
        </w:tc>
        <w:tc>
          <w:tcPr>
            <w:tcW w:w="3180" w:type="dxa"/>
            <w:tcMar>
              <w:top w:w="0" w:type="dxa"/>
              <w:bottom w:w="0" w:type="dxa"/>
            </w:tcMar>
            <w:vAlign w:val="center"/>
          </w:tcPr>
          <w:p w:rsidR="004507E7" w:rsidRDefault="00266C35">
            <w:pPr>
              <w:keepNext/>
              <w:keepLines/>
              <w:spacing w:after="0" w:line="240" w:lineRule="auto"/>
            </w:pPr>
            <w:r>
              <w:rPr>
                <w:b/>
                <w:sz w:val="18"/>
              </w:rPr>
              <w:t>MANJAK PRIHODA I PRIMITAKA (šifre Y345-X678)</w:t>
            </w:r>
          </w:p>
        </w:tc>
        <w:tc>
          <w:tcPr>
            <w:tcW w:w="700" w:type="dxa"/>
            <w:tcMar>
              <w:top w:w="0" w:type="dxa"/>
              <w:bottom w:w="0" w:type="dxa"/>
            </w:tcMar>
            <w:vAlign w:val="center"/>
          </w:tcPr>
          <w:p w:rsidR="004507E7" w:rsidRDefault="00266C35">
            <w:pPr>
              <w:keepNext/>
              <w:keepLines/>
              <w:spacing w:after="0" w:line="240" w:lineRule="auto"/>
            </w:pPr>
            <w:r>
              <w:rPr>
                <w:b/>
                <w:sz w:val="18"/>
              </w:rPr>
              <w:t>Y005</w:t>
            </w:r>
          </w:p>
        </w:tc>
        <w:tc>
          <w:tcPr>
            <w:tcW w:w="1860" w:type="dxa"/>
            <w:tcMar>
              <w:top w:w="0" w:type="dxa"/>
              <w:bottom w:w="0" w:type="dxa"/>
            </w:tcMar>
            <w:vAlign w:val="center"/>
          </w:tcPr>
          <w:p w:rsidR="004507E7" w:rsidRDefault="00266C35">
            <w:pPr>
              <w:keepNext/>
              <w:keepLines/>
              <w:spacing w:after="0" w:line="240" w:lineRule="auto"/>
              <w:jc w:val="right"/>
            </w:pPr>
            <w:r>
              <w:rPr>
                <w:b/>
                <w:sz w:val="18"/>
              </w:rPr>
              <w:t>69.832,93</w:t>
            </w:r>
          </w:p>
        </w:tc>
        <w:tc>
          <w:tcPr>
            <w:tcW w:w="1860" w:type="dxa"/>
            <w:tcMar>
              <w:top w:w="0" w:type="dxa"/>
              <w:bottom w:w="0" w:type="dxa"/>
            </w:tcMar>
            <w:vAlign w:val="center"/>
          </w:tcPr>
          <w:p w:rsidR="004507E7" w:rsidRDefault="00266C35">
            <w:pPr>
              <w:keepNext/>
              <w:keepLines/>
              <w:spacing w:after="0" w:line="240" w:lineRule="auto"/>
              <w:jc w:val="right"/>
            </w:pPr>
            <w:r>
              <w:rPr>
                <w:b/>
                <w:sz w:val="18"/>
              </w:rPr>
              <w:t>9.849,49</w:t>
            </w:r>
          </w:p>
        </w:tc>
        <w:tc>
          <w:tcPr>
            <w:tcW w:w="700" w:type="dxa"/>
            <w:tcMar>
              <w:top w:w="0" w:type="dxa"/>
              <w:bottom w:w="0" w:type="dxa"/>
            </w:tcMar>
            <w:vAlign w:val="center"/>
          </w:tcPr>
          <w:p w:rsidR="004507E7" w:rsidRDefault="00266C35">
            <w:pPr>
              <w:keepNext/>
              <w:keepLines/>
              <w:spacing w:after="0" w:line="240" w:lineRule="auto"/>
              <w:jc w:val="right"/>
            </w:pPr>
            <w:r>
              <w:rPr>
                <w:b/>
                <w:sz w:val="18"/>
              </w:rPr>
              <w:t>14,1</w:t>
            </w:r>
          </w:p>
        </w:tc>
      </w:tr>
    </w:tbl>
    <w:p w:rsidR="004507E7" w:rsidRDefault="004507E7">
      <w:pPr>
        <w:spacing w:after="0"/>
      </w:pPr>
    </w:p>
    <w:p w:rsidR="004507E7" w:rsidRDefault="00266C35">
      <w:r>
        <w:t xml:space="preserve">Osnovna škola Primošten je u promatranom izvještajnom razdoblju </w:t>
      </w:r>
      <w:proofErr w:type="spellStart"/>
      <w:r>
        <w:t>razdoblju</w:t>
      </w:r>
      <w:proofErr w:type="spellEnd"/>
      <w:r>
        <w:t>  ostvarila ukupne prihode poslovanja (šifra 6) u iznosu od 529.754,28 eura te ukupne rashode poslovanja (šifra 3) u iznosi od 530.353,77 eura. Slijedom navedenog ostvaren je manjak p</w:t>
      </w:r>
      <w:r>
        <w:t>rihoda poslovanja (šifra Y001) u iznosu od 599,49 eura, a odnosi se na obračunate, a neplaćene račune prihod za koje se naplata očekuje u svibnju 2026. godine. </w:t>
      </w:r>
    </w:p>
    <w:p w:rsidR="004507E7" w:rsidRDefault="00266C35">
      <w:r>
        <w:lastRenderedPageBreak/>
        <w:t>U istom razdoblju ostvaren je rashod od nefinancijske imovine (šifra 8) iznosi 9.250,00 eura. N</w:t>
      </w:r>
      <w:r>
        <w:t>avedeni rashod  se odnosi na sredstva za izradu projektne dokumentacije za energetsku obnovu škole financiran iz vlastitih izvora iz viškova od 2025. godine, te je iskazan kao manjak od nefinancijske imovine.</w:t>
      </w:r>
    </w:p>
    <w:p w:rsidR="004507E7" w:rsidRDefault="00266C35">
      <w:r>
        <w:t>Ukupan manjak prihoda i primitaka (šifra Y 005)</w:t>
      </w:r>
      <w:r>
        <w:t xml:space="preserve"> na kraju izvještajnog razdoblja iznosi 9.849,49 eura.</w:t>
      </w:r>
    </w:p>
    <w:p w:rsidR="004507E7" w:rsidRDefault="00266C35">
      <w:r>
        <w:br/>
      </w:r>
    </w:p>
    <w:p w:rsidR="004507E7" w:rsidRDefault="00266C35">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7E7">
        <w:tblPrEx>
          <w:tblCellMar>
            <w:top w:w="0" w:type="dxa"/>
            <w:bottom w:w="0" w:type="dxa"/>
          </w:tblCellMar>
        </w:tblPrEx>
        <w:trPr>
          <w:cantSplit/>
        </w:trPr>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Indeks (%)</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6526</w:t>
            </w:r>
          </w:p>
        </w:tc>
        <w:tc>
          <w:tcPr>
            <w:tcW w:w="3180" w:type="dxa"/>
            <w:tcMar>
              <w:top w:w="0" w:type="dxa"/>
              <w:bottom w:w="0" w:type="dxa"/>
            </w:tcMar>
            <w:vAlign w:val="center"/>
          </w:tcPr>
          <w:p w:rsidR="004507E7" w:rsidRDefault="00266C35">
            <w:pPr>
              <w:keepNext/>
              <w:keepLines/>
              <w:spacing w:after="0" w:line="240" w:lineRule="auto"/>
            </w:pPr>
            <w:r>
              <w:rPr>
                <w:sz w:val="18"/>
              </w:rPr>
              <w:t>Ostali nespomenuti prihodi</w:t>
            </w:r>
          </w:p>
        </w:tc>
        <w:tc>
          <w:tcPr>
            <w:tcW w:w="700" w:type="dxa"/>
            <w:tcMar>
              <w:top w:w="0" w:type="dxa"/>
              <w:bottom w:w="0" w:type="dxa"/>
            </w:tcMar>
            <w:vAlign w:val="center"/>
          </w:tcPr>
          <w:p w:rsidR="004507E7" w:rsidRDefault="00266C35">
            <w:pPr>
              <w:keepNext/>
              <w:keepLines/>
              <w:spacing w:after="0" w:line="240" w:lineRule="auto"/>
            </w:pPr>
            <w:r>
              <w:rPr>
                <w:sz w:val="18"/>
              </w:rPr>
              <w:t>6526</w:t>
            </w:r>
          </w:p>
        </w:tc>
        <w:tc>
          <w:tcPr>
            <w:tcW w:w="1860" w:type="dxa"/>
            <w:tcMar>
              <w:top w:w="0" w:type="dxa"/>
              <w:bottom w:w="0" w:type="dxa"/>
            </w:tcMar>
            <w:vAlign w:val="center"/>
          </w:tcPr>
          <w:p w:rsidR="004507E7" w:rsidRDefault="00266C35">
            <w:pPr>
              <w:keepNext/>
              <w:keepLines/>
              <w:spacing w:after="0" w:line="240" w:lineRule="auto"/>
              <w:jc w:val="right"/>
            </w:pPr>
            <w:r>
              <w:rPr>
                <w:sz w:val="18"/>
              </w:rPr>
              <w:t>31,25</w:t>
            </w:r>
          </w:p>
        </w:tc>
        <w:tc>
          <w:tcPr>
            <w:tcW w:w="1860" w:type="dxa"/>
            <w:tcMar>
              <w:top w:w="0" w:type="dxa"/>
              <w:bottom w:w="0" w:type="dxa"/>
            </w:tcMar>
            <w:vAlign w:val="center"/>
          </w:tcPr>
          <w:p w:rsidR="004507E7" w:rsidRDefault="00266C35">
            <w:pPr>
              <w:keepNext/>
              <w:keepLines/>
              <w:spacing w:after="0" w:line="240" w:lineRule="auto"/>
              <w:jc w:val="right"/>
            </w:pPr>
            <w:r>
              <w:rPr>
                <w:sz w:val="18"/>
              </w:rPr>
              <w:t>1.900,00</w:t>
            </w:r>
          </w:p>
        </w:tc>
        <w:tc>
          <w:tcPr>
            <w:tcW w:w="700" w:type="dxa"/>
            <w:tcMar>
              <w:top w:w="0" w:type="dxa"/>
              <w:bottom w:w="0" w:type="dxa"/>
            </w:tcMar>
            <w:vAlign w:val="center"/>
          </w:tcPr>
          <w:p w:rsidR="004507E7" w:rsidRDefault="00266C35">
            <w:pPr>
              <w:keepNext/>
              <w:keepLines/>
              <w:spacing w:after="0" w:line="240" w:lineRule="auto"/>
              <w:jc w:val="right"/>
            </w:pPr>
            <w:r>
              <w:rPr>
                <w:sz w:val="18"/>
              </w:rPr>
              <w:t>6080,0</w:t>
            </w:r>
          </w:p>
        </w:tc>
      </w:tr>
    </w:tbl>
    <w:p w:rsidR="004507E7" w:rsidRDefault="004507E7">
      <w:pPr>
        <w:spacing w:after="0"/>
      </w:pPr>
    </w:p>
    <w:p w:rsidR="004507E7" w:rsidRDefault="00266C35">
      <w:r>
        <w:t>U ovom izvještajnom razdoblju osnovna škola Primošten ostvarila je ovako veliko povećanje na kontu 65264 zbog uplate gotovog novca za financiranje izleta u NP Plitvička jezera.</w:t>
      </w:r>
    </w:p>
    <w:p w:rsidR="004507E7" w:rsidRDefault="004507E7"/>
    <w:p w:rsidR="004507E7" w:rsidRDefault="00266C35">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7E7">
        <w:tblPrEx>
          <w:tblCellMar>
            <w:top w:w="0" w:type="dxa"/>
            <w:bottom w:w="0" w:type="dxa"/>
          </w:tblCellMar>
        </w:tblPrEx>
        <w:trPr>
          <w:cantSplit/>
        </w:trPr>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Indeks (%)</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3225</w:t>
            </w:r>
          </w:p>
        </w:tc>
        <w:tc>
          <w:tcPr>
            <w:tcW w:w="3180" w:type="dxa"/>
            <w:tcMar>
              <w:top w:w="0" w:type="dxa"/>
              <w:bottom w:w="0" w:type="dxa"/>
            </w:tcMar>
            <w:vAlign w:val="center"/>
          </w:tcPr>
          <w:p w:rsidR="004507E7" w:rsidRDefault="00266C35">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4507E7" w:rsidRDefault="00266C35">
            <w:pPr>
              <w:keepNext/>
              <w:keepLines/>
              <w:spacing w:after="0" w:line="240" w:lineRule="auto"/>
            </w:pPr>
            <w:r>
              <w:rPr>
                <w:sz w:val="18"/>
              </w:rPr>
              <w:t>3225</w:t>
            </w:r>
          </w:p>
        </w:tc>
        <w:tc>
          <w:tcPr>
            <w:tcW w:w="1860" w:type="dxa"/>
            <w:tcMar>
              <w:top w:w="0" w:type="dxa"/>
              <w:bottom w:w="0" w:type="dxa"/>
            </w:tcMar>
            <w:vAlign w:val="center"/>
          </w:tcPr>
          <w:p w:rsidR="004507E7" w:rsidRDefault="00266C35">
            <w:pPr>
              <w:keepNext/>
              <w:keepLines/>
              <w:spacing w:after="0" w:line="240" w:lineRule="auto"/>
              <w:jc w:val="right"/>
            </w:pPr>
            <w:r>
              <w:rPr>
                <w:sz w:val="18"/>
              </w:rPr>
              <w:t>414,06</w:t>
            </w:r>
          </w:p>
        </w:tc>
        <w:tc>
          <w:tcPr>
            <w:tcW w:w="1860" w:type="dxa"/>
            <w:tcMar>
              <w:top w:w="0" w:type="dxa"/>
              <w:bottom w:w="0" w:type="dxa"/>
            </w:tcMar>
            <w:vAlign w:val="center"/>
          </w:tcPr>
          <w:p w:rsidR="004507E7" w:rsidRDefault="00266C35">
            <w:pPr>
              <w:keepNext/>
              <w:keepLines/>
              <w:spacing w:after="0" w:line="240" w:lineRule="auto"/>
              <w:jc w:val="right"/>
            </w:pPr>
            <w:r>
              <w:rPr>
                <w:sz w:val="18"/>
              </w:rPr>
              <w:t>1.237,24</w:t>
            </w:r>
          </w:p>
        </w:tc>
        <w:tc>
          <w:tcPr>
            <w:tcW w:w="700" w:type="dxa"/>
            <w:tcMar>
              <w:top w:w="0" w:type="dxa"/>
              <w:bottom w:w="0" w:type="dxa"/>
            </w:tcMar>
            <w:vAlign w:val="center"/>
          </w:tcPr>
          <w:p w:rsidR="004507E7" w:rsidRDefault="00266C35">
            <w:pPr>
              <w:keepNext/>
              <w:keepLines/>
              <w:spacing w:after="0" w:line="240" w:lineRule="auto"/>
              <w:jc w:val="right"/>
            </w:pPr>
            <w:r>
              <w:rPr>
                <w:sz w:val="18"/>
              </w:rPr>
              <w:t>298,8</w:t>
            </w:r>
          </w:p>
        </w:tc>
      </w:tr>
    </w:tbl>
    <w:p w:rsidR="004507E7" w:rsidRDefault="004507E7">
      <w:pPr>
        <w:spacing w:after="0"/>
      </w:pPr>
    </w:p>
    <w:p w:rsidR="004507E7" w:rsidRDefault="00266C35">
      <w:r>
        <w:t>Odstupanje na stavci sitnog inventara posljedica je potrebe za nabavom dodatne opreme koja se sukladno računovodstvenim propisima evidentira kao sitni inventar, a koja je  bila nužna kako bi se redovno poslovanje moglo nesmetano odvijati.</w:t>
      </w:r>
    </w:p>
    <w:p w:rsidR="004507E7" w:rsidRDefault="00266C35">
      <w:r>
        <w:t> </w:t>
      </w:r>
    </w:p>
    <w:p w:rsidR="004507E7" w:rsidRDefault="004507E7"/>
    <w:p w:rsidR="004507E7" w:rsidRDefault="00266C35">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7E7">
        <w:tblPrEx>
          <w:tblCellMar>
            <w:top w:w="0" w:type="dxa"/>
            <w:bottom w:w="0" w:type="dxa"/>
          </w:tblCellMar>
        </w:tblPrEx>
        <w:trPr>
          <w:cantSplit/>
        </w:trPr>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Ra</w:t>
            </w:r>
            <w:r>
              <w:rPr>
                <w:b/>
                <w:sz w:val="18"/>
              </w:rPr>
              <w:t xml:space="preserve">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Indeks (%)</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3236</w:t>
            </w:r>
          </w:p>
        </w:tc>
        <w:tc>
          <w:tcPr>
            <w:tcW w:w="3180" w:type="dxa"/>
            <w:tcMar>
              <w:top w:w="0" w:type="dxa"/>
              <w:bottom w:w="0" w:type="dxa"/>
            </w:tcMar>
            <w:vAlign w:val="center"/>
          </w:tcPr>
          <w:p w:rsidR="004507E7" w:rsidRDefault="00266C35">
            <w:pPr>
              <w:keepNext/>
              <w:keepLines/>
              <w:spacing w:after="0" w:line="240" w:lineRule="auto"/>
            </w:pPr>
            <w:r>
              <w:rPr>
                <w:sz w:val="18"/>
              </w:rPr>
              <w:t>Zdravstvene i veterinarske usluge</w:t>
            </w:r>
          </w:p>
        </w:tc>
        <w:tc>
          <w:tcPr>
            <w:tcW w:w="700" w:type="dxa"/>
            <w:tcMar>
              <w:top w:w="0" w:type="dxa"/>
              <w:bottom w:w="0" w:type="dxa"/>
            </w:tcMar>
            <w:vAlign w:val="center"/>
          </w:tcPr>
          <w:p w:rsidR="004507E7" w:rsidRDefault="00266C35">
            <w:pPr>
              <w:keepNext/>
              <w:keepLines/>
              <w:spacing w:after="0" w:line="240" w:lineRule="auto"/>
            </w:pPr>
            <w:r>
              <w:rPr>
                <w:sz w:val="18"/>
              </w:rPr>
              <w:t>3236</w:t>
            </w:r>
          </w:p>
        </w:tc>
        <w:tc>
          <w:tcPr>
            <w:tcW w:w="1860" w:type="dxa"/>
            <w:tcMar>
              <w:top w:w="0" w:type="dxa"/>
              <w:bottom w:w="0" w:type="dxa"/>
            </w:tcMar>
            <w:vAlign w:val="center"/>
          </w:tcPr>
          <w:p w:rsidR="004507E7" w:rsidRDefault="00266C35">
            <w:pPr>
              <w:keepNext/>
              <w:keepLines/>
              <w:spacing w:after="0" w:line="240" w:lineRule="auto"/>
              <w:jc w:val="right"/>
            </w:pPr>
            <w:r>
              <w:rPr>
                <w:sz w:val="18"/>
              </w:rPr>
              <w:t>1.439,27</w:t>
            </w:r>
          </w:p>
        </w:tc>
        <w:tc>
          <w:tcPr>
            <w:tcW w:w="1860" w:type="dxa"/>
            <w:tcMar>
              <w:top w:w="0" w:type="dxa"/>
              <w:bottom w:w="0" w:type="dxa"/>
            </w:tcMar>
            <w:vAlign w:val="center"/>
          </w:tcPr>
          <w:p w:rsidR="004507E7" w:rsidRDefault="00266C35">
            <w:pPr>
              <w:keepNext/>
              <w:keepLines/>
              <w:spacing w:after="0" w:line="240" w:lineRule="auto"/>
              <w:jc w:val="right"/>
            </w:pPr>
            <w:r>
              <w:rPr>
                <w:sz w:val="18"/>
              </w:rPr>
              <w:t>2.190,00</w:t>
            </w:r>
          </w:p>
        </w:tc>
        <w:tc>
          <w:tcPr>
            <w:tcW w:w="700" w:type="dxa"/>
            <w:tcMar>
              <w:top w:w="0" w:type="dxa"/>
              <w:bottom w:w="0" w:type="dxa"/>
            </w:tcMar>
            <w:vAlign w:val="center"/>
          </w:tcPr>
          <w:p w:rsidR="004507E7" w:rsidRDefault="00266C35">
            <w:pPr>
              <w:keepNext/>
              <w:keepLines/>
              <w:spacing w:after="0" w:line="240" w:lineRule="auto"/>
              <w:jc w:val="right"/>
            </w:pPr>
            <w:r>
              <w:rPr>
                <w:sz w:val="18"/>
              </w:rPr>
              <w:t>152,2</w:t>
            </w:r>
          </w:p>
        </w:tc>
      </w:tr>
    </w:tbl>
    <w:p w:rsidR="004507E7" w:rsidRDefault="004507E7">
      <w:pPr>
        <w:spacing w:after="0"/>
      </w:pPr>
    </w:p>
    <w:p w:rsidR="004507E7" w:rsidRDefault="00266C35">
      <w:r>
        <w:t>U ovom izvještajnom razdoblju veća je potražnja zaposlenika za zdravstvenim uslugama, nego u prošlogodišnjem.</w:t>
      </w:r>
    </w:p>
    <w:p w:rsidR="004507E7" w:rsidRDefault="004507E7"/>
    <w:p w:rsidR="004507E7" w:rsidRDefault="00266C35">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7E7">
        <w:tblPrEx>
          <w:tblCellMar>
            <w:top w:w="0" w:type="dxa"/>
            <w:bottom w:w="0" w:type="dxa"/>
          </w:tblCellMar>
        </w:tblPrEx>
        <w:trPr>
          <w:cantSplit/>
        </w:trPr>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tekuće g</w:t>
            </w:r>
            <w:r>
              <w:rPr>
                <w:b/>
                <w:sz w:val="18"/>
              </w:rPr>
              <w:t>odine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Indeks (%)</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3239</w:t>
            </w:r>
          </w:p>
        </w:tc>
        <w:tc>
          <w:tcPr>
            <w:tcW w:w="3180" w:type="dxa"/>
            <w:tcMar>
              <w:top w:w="0" w:type="dxa"/>
              <w:bottom w:w="0" w:type="dxa"/>
            </w:tcMar>
            <w:vAlign w:val="center"/>
          </w:tcPr>
          <w:p w:rsidR="004507E7" w:rsidRDefault="00266C35">
            <w:pPr>
              <w:keepNext/>
              <w:keepLines/>
              <w:spacing w:after="0" w:line="240" w:lineRule="auto"/>
            </w:pPr>
            <w:r>
              <w:rPr>
                <w:sz w:val="18"/>
              </w:rPr>
              <w:t>Ostale usluge</w:t>
            </w:r>
          </w:p>
        </w:tc>
        <w:tc>
          <w:tcPr>
            <w:tcW w:w="700" w:type="dxa"/>
            <w:tcMar>
              <w:top w:w="0" w:type="dxa"/>
              <w:bottom w:w="0" w:type="dxa"/>
            </w:tcMar>
            <w:vAlign w:val="center"/>
          </w:tcPr>
          <w:p w:rsidR="004507E7" w:rsidRDefault="00266C35">
            <w:pPr>
              <w:keepNext/>
              <w:keepLines/>
              <w:spacing w:after="0" w:line="240" w:lineRule="auto"/>
            </w:pPr>
            <w:r>
              <w:rPr>
                <w:sz w:val="18"/>
              </w:rPr>
              <w:t>3239</w:t>
            </w:r>
          </w:p>
        </w:tc>
        <w:tc>
          <w:tcPr>
            <w:tcW w:w="1860" w:type="dxa"/>
            <w:tcMar>
              <w:top w:w="0" w:type="dxa"/>
              <w:bottom w:w="0" w:type="dxa"/>
            </w:tcMar>
            <w:vAlign w:val="center"/>
          </w:tcPr>
          <w:p w:rsidR="004507E7" w:rsidRDefault="00266C35">
            <w:pPr>
              <w:keepNext/>
              <w:keepLines/>
              <w:spacing w:after="0" w:line="240" w:lineRule="auto"/>
              <w:jc w:val="right"/>
            </w:pPr>
            <w:r>
              <w:rPr>
                <w:sz w:val="18"/>
              </w:rPr>
              <w:t>713,78</w:t>
            </w:r>
          </w:p>
        </w:tc>
        <w:tc>
          <w:tcPr>
            <w:tcW w:w="1860" w:type="dxa"/>
            <w:tcMar>
              <w:top w:w="0" w:type="dxa"/>
              <w:bottom w:w="0" w:type="dxa"/>
            </w:tcMar>
            <w:vAlign w:val="center"/>
          </w:tcPr>
          <w:p w:rsidR="004507E7" w:rsidRDefault="00266C35">
            <w:pPr>
              <w:keepNext/>
              <w:keepLines/>
              <w:spacing w:after="0" w:line="240" w:lineRule="auto"/>
              <w:jc w:val="right"/>
            </w:pPr>
            <w:r>
              <w:rPr>
                <w:sz w:val="18"/>
              </w:rPr>
              <w:t>3.662,97</w:t>
            </w:r>
          </w:p>
        </w:tc>
        <w:tc>
          <w:tcPr>
            <w:tcW w:w="700" w:type="dxa"/>
            <w:tcMar>
              <w:top w:w="0" w:type="dxa"/>
              <w:bottom w:w="0" w:type="dxa"/>
            </w:tcMar>
            <w:vAlign w:val="center"/>
          </w:tcPr>
          <w:p w:rsidR="004507E7" w:rsidRDefault="00266C35">
            <w:pPr>
              <w:keepNext/>
              <w:keepLines/>
              <w:spacing w:after="0" w:line="240" w:lineRule="auto"/>
              <w:jc w:val="right"/>
            </w:pPr>
            <w:r>
              <w:rPr>
                <w:sz w:val="18"/>
              </w:rPr>
              <w:t>513,2</w:t>
            </w:r>
          </w:p>
        </w:tc>
      </w:tr>
    </w:tbl>
    <w:p w:rsidR="004507E7" w:rsidRDefault="004507E7">
      <w:pPr>
        <w:spacing w:after="0"/>
      </w:pPr>
    </w:p>
    <w:p w:rsidR="004507E7" w:rsidRDefault="00266C35">
      <w:r>
        <w:t>Izrazito povećanje na kontu 3239 nastalo je usli</w:t>
      </w:r>
      <w:r>
        <w:t>jed potrebe za hitnom intervencijom zbog puknuća cjevovoda. Usli</w:t>
      </w:r>
      <w:r>
        <w:t>jed nastale situacije došlo do poplave u školi. Računi za hitnu inter</w:t>
      </w:r>
      <w:r>
        <w:t>venciju proknjiženi su na konto 3299 zbog nemogućnosti otvaranja novog izvora,</w:t>
      </w:r>
      <w:r>
        <w:t xml:space="preserve"> koji će biti otvoren sljedećim rebalansom</w:t>
      </w:r>
      <w:bookmarkStart w:id="0" w:name="_GoBack"/>
      <w:bookmarkEnd w:id="0"/>
      <w:r>
        <w:t xml:space="preserve"> i tada će sredstva biti </w:t>
      </w:r>
      <w:proofErr w:type="spellStart"/>
      <w:r>
        <w:t>preknjižena</w:t>
      </w:r>
      <w:proofErr w:type="spellEnd"/>
      <w:r>
        <w:t xml:space="preserve"> na ispravni konto.</w:t>
      </w:r>
    </w:p>
    <w:p w:rsidR="004507E7" w:rsidRDefault="004507E7"/>
    <w:p w:rsidR="004507E7" w:rsidRDefault="00266C35">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7E7">
        <w:tblPrEx>
          <w:tblCellMar>
            <w:top w:w="0" w:type="dxa"/>
            <w:bottom w:w="0" w:type="dxa"/>
          </w:tblCellMar>
        </w:tblPrEx>
        <w:trPr>
          <w:cantSplit/>
        </w:trPr>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Indeks</w:t>
            </w:r>
            <w:r>
              <w:rPr>
                <w:b/>
                <w:sz w:val="18"/>
              </w:rPr>
              <w:t xml:space="preserve"> (%)</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329</w:t>
            </w:r>
          </w:p>
        </w:tc>
        <w:tc>
          <w:tcPr>
            <w:tcW w:w="3180" w:type="dxa"/>
            <w:tcMar>
              <w:top w:w="0" w:type="dxa"/>
              <w:bottom w:w="0" w:type="dxa"/>
            </w:tcMar>
            <w:vAlign w:val="center"/>
          </w:tcPr>
          <w:p w:rsidR="004507E7" w:rsidRDefault="00266C35">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4507E7" w:rsidRDefault="00266C35">
            <w:pPr>
              <w:keepNext/>
              <w:keepLines/>
              <w:spacing w:after="0" w:line="240" w:lineRule="auto"/>
            </w:pPr>
            <w:r>
              <w:rPr>
                <w:sz w:val="18"/>
              </w:rPr>
              <w:t>329</w:t>
            </w:r>
          </w:p>
        </w:tc>
        <w:tc>
          <w:tcPr>
            <w:tcW w:w="1860" w:type="dxa"/>
            <w:tcMar>
              <w:top w:w="0" w:type="dxa"/>
              <w:bottom w:w="0" w:type="dxa"/>
            </w:tcMar>
            <w:vAlign w:val="center"/>
          </w:tcPr>
          <w:p w:rsidR="004507E7" w:rsidRDefault="00266C35">
            <w:pPr>
              <w:keepNext/>
              <w:keepLines/>
              <w:spacing w:after="0" w:line="240" w:lineRule="auto"/>
              <w:jc w:val="right"/>
            </w:pPr>
            <w:r>
              <w:rPr>
                <w:sz w:val="18"/>
              </w:rPr>
              <w:t>9.763,61</w:t>
            </w:r>
          </w:p>
        </w:tc>
        <w:tc>
          <w:tcPr>
            <w:tcW w:w="1860" w:type="dxa"/>
            <w:tcMar>
              <w:top w:w="0" w:type="dxa"/>
              <w:bottom w:w="0" w:type="dxa"/>
            </w:tcMar>
            <w:vAlign w:val="center"/>
          </w:tcPr>
          <w:p w:rsidR="004507E7" w:rsidRDefault="00266C35">
            <w:pPr>
              <w:keepNext/>
              <w:keepLines/>
              <w:spacing w:after="0" w:line="240" w:lineRule="auto"/>
              <w:jc w:val="right"/>
            </w:pPr>
            <w:r>
              <w:rPr>
                <w:sz w:val="18"/>
              </w:rPr>
              <w:t>12.025,94</w:t>
            </w:r>
          </w:p>
        </w:tc>
        <w:tc>
          <w:tcPr>
            <w:tcW w:w="700" w:type="dxa"/>
            <w:tcMar>
              <w:top w:w="0" w:type="dxa"/>
              <w:bottom w:w="0" w:type="dxa"/>
            </w:tcMar>
            <w:vAlign w:val="center"/>
          </w:tcPr>
          <w:p w:rsidR="004507E7" w:rsidRDefault="00266C35">
            <w:pPr>
              <w:keepNext/>
              <w:keepLines/>
              <w:spacing w:after="0" w:line="240" w:lineRule="auto"/>
              <w:jc w:val="right"/>
            </w:pPr>
            <w:r>
              <w:rPr>
                <w:sz w:val="18"/>
              </w:rPr>
              <w:t>123,2</w:t>
            </w:r>
          </w:p>
        </w:tc>
      </w:tr>
    </w:tbl>
    <w:p w:rsidR="004507E7" w:rsidRDefault="004507E7">
      <w:pPr>
        <w:spacing w:after="0"/>
      </w:pPr>
    </w:p>
    <w:p w:rsidR="004507E7" w:rsidRDefault="00266C35">
      <w:r>
        <w:t>Razlozi povećanja na kontu 329 je isključivo zbog financiranja projektne dokumentacije za energetsku obnovu škole.</w:t>
      </w:r>
    </w:p>
    <w:p w:rsidR="004507E7" w:rsidRDefault="004507E7"/>
    <w:p w:rsidR="004507E7" w:rsidRDefault="00266C35">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7E7">
        <w:tblPrEx>
          <w:tblCellMar>
            <w:top w:w="0" w:type="dxa"/>
            <w:bottom w:w="0" w:type="dxa"/>
          </w:tblCellMar>
        </w:tblPrEx>
        <w:trPr>
          <w:cantSplit/>
        </w:trPr>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Indeks (%)</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4507E7">
            <w:pPr>
              <w:keepNext/>
              <w:keepLines/>
              <w:spacing w:after="0" w:line="240" w:lineRule="auto"/>
            </w:pPr>
          </w:p>
        </w:tc>
        <w:tc>
          <w:tcPr>
            <w:tcW w:w="3180" w:type="dxa"/>
            <w:tcMar>
              <w:top w:w="0" w:type="dxa"/>
              <w:bottom w:w="0" w:type="dxa"/>
            </w:tcMar>
            <w:vAlign w:val="center"/>
          </w:tcPr>
          <w:p w:rsidR="004507E7" w:rsidRDefault="00266C35">
            <w:pPr>
              <w:keepNext/>
              <w:keepLines/>
              <w:spacing w:after="0" w:line="240" w:lineRule="auto"/>
            </w:pPr>
            <w:r>
              <w:rPr>
                <w:sz w:val="18"/>
              </w:rPr>
              <w:t>MANJAK PRIHODA POSLOVANJA (šifre Z005-6)</w:t>
            </w:r>
          </w:p>
        </w:tc>
        <w:tc>
          <w:tcPr>
            <w:tcW w:w="700" w:type="dxa"/>
            <w:tcMar>
              <w:top w:w="0" w:type="dxa"/>
              <w:bottom w:w="0" w:type="dxa"/>
            </w:tcMar>
            <w:vAlign w:val="center"/>
          </w:tcPr>
          <w:p w:rsidR="004507E7" w:rsidRDefault="00266C35">
            <w:pPr>
              <w:keepNext/>
              <w:keepLines/>
              <w:spacing w:after="0" w:line="240" w:lineRule="auto"/>
            </w:pPr>
            <w:r>
              <w:rPr>
                <w:sz w:val="18"/>
              </w:rPr>
              <w:t>Y001</w:t>
            </w:r>
          </w:p>
        </w:tc>
        <w:tc>
          <w:tcPr>
            <w:tcW w:w="1860" w:type="dxa"/>
            <w:tcMar>
              <w:top w:w="0" w:type="dxa"/>
              <w:bottom w:w="0" w:type="dxa"/>
            </w:tcMar>
            <w:vAlign w:val="center"/>
          </w:tcPr>
          <w:p w:rsidR="004507E7" w:rsidRDefault="00266C35">
            <w:pPr>
              <w:keepNext/>
              <w:keepLines/>
              <w:spacing w:after="0" w:line="240" w:lineRule="auto"/>
              <w:jc w:val="right"/>
            </w:pPr>
            <w:r>
              <w:rPr>
                <w:sz w:val="18"/>
              </w:rPr>
              <w:t>68.056,65</w:t>
            </w:r>
          </w:p>
        </w:tc>
        <w:tc>
          <w:tcPr>
            <w:tcW w:w="1860" w:type="dxa"/>
            <w:tcMar>
              <w:top w:w="0" w:type="dxa"/>
              <w:bottom w:w="0" w:type="dxa"/>
            </w:tcMar>
            <w:vAlign w:val="center"/>
          </w:tcPr>
          <w:p w:rsidR="004507E7" w:rsidRDefault="00266C35">
            <w:pPr>
              <w:keepNext/>
              <w:keepLines/>
              <w:spacing w:after="0" w:line="240" w:lineRule="auto"/>
              <w:jc w:val="right"/>
            </w:pPr>
            <w:r>
              <w:rPr>
                <w:sz w:val="18"/>
              </w:rPr>
              <w:t>599,49</w:t>
            </w:r>
          </w:p>
        </w:tc>
        <w:tc>
          <w:tcPr>
            <w:tcW w:w="700" w:type="dxa"/>
            <w:tcMar>
              <w:top w:w="0" w:type="dxa"/>
              <w:bottom w:w="0" w:type="dxa"/>
            </w:tcMar>
            <w:vAlign w:val="center"/>
          </w:tcPr>
          <w:p w:rsidR="004507E7" w:rsidRDefault="00266C35">
            <w:pPr>
              <w:keepNext/>
              <w:keepLines/>
              <w:spacing w:after="0" w:line="240" w:lineRule="auto"/>
              <w:jc w:val="right"/>
            </w:pPr>
            <w:r>
              <w:rPr>
                <w:sz w:val="18"/>
              </w:rPr>
              <w:t>0,9</w:t>
            </w:r>
          </w:p>
        </w:tc>
      </w:tr>
    </w:tbl>
    <w:p w:rsidR="004507E7" w:rsidRDefault="004507E7">
      <w:pPr>
        <w:spacing w:after="0"/>
      </w:pPr>
    </w:p>
    <w:p w:rsidR="004507E7" w:rsidRDefault="00266C35">
      <w:r>
        <w:t>U izvještajnom razdoblju tekuće godine iskazan je znatno manji manjak prihoda poslovanja u odnosu na isto razdoblje prethodne godine. Razlog navedenom je promjena načina evidentiranja rashoda za plaću za prosinac 2025. godine, dok je isplata plaće izvršena</w:t>
      </w:r>
      <w:r>
        <w:t xml:space="preserve"> u siječnju 2026. godine, bez primjene vremenskih razgraničenja. Navedeno je utjecalo na iskazani rezultat poslovanja u izvještajnom razdoblju.</w:t>
      </w:r>
    </w:p>
    <w:p w:rsidR="004507E7" w:rsidRDefault="004507E7"/>
    <w:p w:rsidR="004507E7" w:rsidRDefault="00266C35">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7E7">
        <w:tblPrEx>
          <w:tblCellMar>
            <w:top w:w="0" w:type="dxa"/>
            <w:bottom w:w="0" w:type="dxa"/>
          </w:tblCellMar>
        </w:tblPrEx>
        <w:trPr>
          <w:cantSplit/>
        </w:trPr>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w:t>
            </w:r>
            <w:r>
              <w:rPr>
                <w:b/>
                <w:sz w:val="18"/>
              </w:rPr>
              <w:t xml:space="preserve"> u izvještajnom razdoblju tekuće godine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Indeks (%)</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266C35">
            <w:pPr>
              <w:keepNext/>
              <w:keepLines/>
              <w:spacing w:after="0" w:line="240" w:lineRule="auto"/>
            </w:pPr>
            <w:r>
              <w:rPr>
                <w:sz w:val="18"/>
              </w:rPr>
              <w:t>4</w:t>
            </w:r>
          </w:p>
        </w:tc>
        <w:tc>
          <w:tcPr>
            <w:tcW w:w="3180" w:type="dxa"/>
            <w:tcMar>
              <w:top w:w="0" w:type="dxa"/>
              <w:bottom w:w="0" w:type="dxa"/>
            </w:tcMar>
            <w:vAlign w:val="center"/>
          </w:tcPr>
          <w:p w:rsidR="004507E7" w:rsidRDefault="00266C35">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4507E7" w:rsidRDefault="00266C35">
            <w:pPr>
              <w:keepNext/>
              <w:keepLines/>
              <w:spacing w:after="0" w:line="240" w:lineRule="auto"/>
            </w:pPr>
            <w:r>
              <w:rPr>
                <w:sz w:val="18"/>
              </w:rPr>
              <w:t>4</w:t>
            </w:r>
          </w:p>
        </w:tc>
        <w:tc>
          <w:tcPr>
            <w:tcW w:w="1860" w:type="dxa"/>
            <w:tcMar>
              <w:top w:w="0" w:type="dxa"/>
              <w:bottom w:w="0" w:type="dxa"/>
            </w:tcMar>
            <w:vAlign w:val="center"/>
          </w:tcPr>
          <w:p w:rsidR="004507E7" w:rsidRDefault="00266C35">
            <w:pPr>
              <w:keepNext/>
              <w:keepLines/>
              <w:spacing w:after="0" w:line="240" w:lineRule="auto"/>
              <w:jc w:val="right"/>
            </w:pPr>
            <w:r>
              <w:rPr>
                <w:sz w:val="18"/>
              </w:rPr>
              <w:t>1.776,28</w:t>
            </w:r>
          </w:p>
        </w:tc>
        <w:tc>
          <w:tcPr>
            <w:tcW w:w="1860" w:type="dxa"/>
            <w:tcMar>
              <w:top w:w="0" w:type="dxa"/>
              <w:bottom w:w="0" w:type="dxa"/>
            </w:tcMar>
            <w:vAlign w:val="center"/>
          </w:tcPr>
          <w:p w:rsidR="004507E7" w:rsidRDefault="00266C35">
            <w:pPr>
              <w:keepNext/>
              <w:keepLines/>
              <w:spacing w:after="0" w:line="240" w:lineRule="auto"/>
              <w:jc w:val="right"/>
            </w:pPr>
            <w:r>
              <w:rPr>
                <w:sz w:val="18"/>
              </w:rPr>
              <w:t>9.250,00</w:t>
            </w:r>
          </w:p>
        </w:tc>
        <w:tc>
          <w:tcPr>
            <w:tcW w:w="700" w:type="dxa"/>
            <w:tcMar>
              <w:top w:w="0" w:type="dxa"/>
              <w:bottom w:w="0" w:type="dxa"/>
            </w:tcMar>
            <w:vAlign w:val="center"/>
          </w:tcPr>
          <w:p w:rsidR="004507E7" w:rsidRDefault="00266C35">
            <w:pPr>
              <w:keepNext/>
              <w:keepLines/>
              <w:spacing w:after="0" w:line="240" w:lineRule="auto"/>
              <w:jc w:val="right"/>
            </w:pPr>
            <w:r>
              <w:rPr>
                <w:sz w:val="18"/>
              </w:rPr>
              <w:t>520,8</w:t>
            </w:r>
          </w:p>
        </w:tc>
      </w:tr>
    </w:tbl>
    <w:p w:rsidR="004507E7" w:rsidRDefault="004507E7">
      <w:pPr>
        <w:spacing w:after="0"/>
      </w:pPr>
    </w:p>
    <w:p w:rsidR="004507E7" w:rsidRDefault="00266C35">
      <w:r>
        <w:t>Znatno povećanje rashoda u tekućem izvještajnom razdoblju odnosi se na financiranje natječajne dokumentacije za prijavu na projekt energetske obnove škole. </w:t>
      </w:r>
    </w:p>
    <w:p w:rsidR="004507E7" w:rsidRDefault="004507E7"/>
    <w:p w:rsidR="004507E7" w:rsidRDefault="00266C35">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507E7">
        <w:tblPrEx>
          <w:tblCellMar>
            <w:top w:w="0" w:type="dxa"/>
            <w:bottom w:w="0" w:type="dxa"/>
          </w:tblCellMar>
        </w:tblPrEx>
        <w:trPr>
          <w:cantSplit/>
        </w:trPr>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Indeks (%)</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4507E7">
            <w:pPr>
              <w:keepNext/>
              <w:keepLines/>
              <w:spacing w:after="0" w:line="240" w:lineRule="auto"/>
            </w:pPr>
          </w:p>
        </w:tc>
        <w:tc>
          <w:tcPr>
            <w:tcW w:w="3180" w:type="dxa"/>
            <w:tcMar>
              <w:top w:w="0" w:type="dxa"/>
              <w:bottom w:w="0" w:type="dxa"/>
            </w:tcMar>
            <w:vAlign w:val="center"/>
          </w:tcPr>
          <w:p w:rsidR="004507E7" w:rsidRDefault="00266C35">
            <w:pPr>
              <w:keepNext/>
              <w:keepLines/>
              <w:spacing w:after="0" w:line="240" w:lineRule="auto"/>
            </w:pPr>
            <w:r>
              <w:rPr>
                <w:sz w:val="18"/>
              </w:rPr>
              <w:t>MANJAK PRIHODA OD NEFINANCIJSKE IMOVINE (šifre 4-7)</w:t>
            </w:r>
          </w:p>
        </w:tc>
        <w:tc>
          <w:tcPr>
            <w:tcW w:w="700" w:type="dxa"/>
            <w:tcMar>
              <w:top w:w="0" w:type="dxa"/>
              <w:bottom w:w="0" w:type="dxa"/>
            </w:tcMar>
            <w:vAlign w:val="center"/>
          </w:tcPr>
          <w:p w:rsidR="004507E7" w:rsidRDefault="00266C35">
            <w:pPr>
              <w:keepNext/>
              <w:keepLines/>
              <w:spacing w:after="0" w:line="240" w:lineRule="auto"/>
            </w:pPr>
            <w:r>
              <w:rPr>
                <w:sz w:val="18"/>
              </w:rPr>
              <w:t>Y002</w:t>
            </w:r>
          </w:p>
        </w:tc>
        <w:tc>
          <w:tcPr>
            <w:tcW w:w="1860" w:type="dxa"/>
            <w:tcMar>
              <w:top w:w="0" w:type="dxa"/>
              <w:bottom w:w="0" w:type="dxa"/>
            </w:tcMar>
            <w:vAlign w:val="center"/>
          </w:tcPr>
          <w:p w:rsidR="004507E7" w:rsidRDefault="00266C35">
            <w:pPr>
              <w:keepNext/>
              <w:keepLines/>
              <w:spacing w:after="0" w:line="240" w:lineRule="auto"/>
              <w:jc w:val="right"/>
            </w:pPr>
            <w:r>
              <w:rPr>
                <w:sz w:val="18"/>
              </w:rPr>
              <w:t>1.776,28</w:t>
            </w:r>
          </w:p>
        </w:tc>
        <w:tc>
          <w:tcPr>
            <w:tcW w:w="1860" w:type="dxa"/>
            <w:tcMar>
              <w:top w:w="0" w:type="dxa"/>
              <w:bottom w:w="0" w:type="dxa"/>
            </w:tcMar>
            <w:vAlign w:val="center"/>
          </w:tcPr>
          <w:p w:rsidR="004507E7" w:rsidRDefault="00266C35">
            <w:pPr>
              <w:keepNext/>
              <w:keepLines/>
              <w:spacing w:after="0" w:line="240" w:lineRule="auto"/>
              <w:jc w:val="right"/>
            </w:pPr>
            <w:r>
              <w:rPr>
                <w:sz w:val="18"/>
              </w:rPr>
              <w:t>9.250,00</w:t>
            </w:r>
          </w:p>
        </w:tc>
        <w:tc>
          <w:tcPr>
            <w:tcW w:w="700" w:type="dxa"/>
            <w:tcMar>
              <w:top w:w="0" w:type="dxa"/>
              <w:bottom w:w="0" w:type="dxa"/>
            </w:tcMar>
            <w:vAlign w:val="center"/>
          </w:tcPr>
          <w:p w:rsidR="004507E7" w:rsidRDefault="00266C35">
            <w:pPr>
              <w:keepNext/>
              <w:keepLines/>
              <w:spacing w:after="0" w:line="240" w:lineRule="auto"/>
              <w:jc w:val="right"/>
            </w:pPr>
            <w:r>
              <w:rPr>
                <w:sz w:val="18"/>
              </w:rPr>
              <w:t>520,8</w:t>
            </w:r>
          </w:p>
        </w:tc>
      </w:tr>
    </w:tbl>
    <w:p w:rsidR="004507E7" w:rsidRDefault="004507E7">
      <w:pPr>
        <w:spacing w:after="0"/>
      </w:pPr>
    </w:p>
    <w:p w:rsidR="004507E7" w:rsidRDefault="00266C35">
      <w:r>
        <w:t>Manjak prihoda od nefinancijske imovine u ovom izvještajnom razdoblju iznosi 9.250,00 eura, a odnosi se na financiranje izrade projektne dokumentacije za prijavu natječaja energetske obnove škole. Iznos je financiran iz vlastitih prihoda škole od viškova 2</w:t>
      </w:r>
      <w:r>
        <w:t>025. godine.</w:t>
      </w:r>
    </w:p>
    <w:p w:rsidR="004507E7" w:rsidRDefault="004507E7"/>
    <w:p w:rsidR="004507E7" w:rsidRDefault="00266C35">
      <w:pPr>
        <w:keepNext/>
        <w:spacing w:line="240" w:lineRule="auto"/>
        <w:jc w:val="center"/>
      </w:pPr>
      <w:r>
        <w:rPr>
          <w:b/>
          <w:sz w:val="28"/>
        </w:rPr>
        <w:t>Izvještaj o obvezama</w:t>
      </w:r>
    </w:p>
    <w:p w:rsidR="004507E7" w:rsidRDefault="00266C35">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507E7">
        <w:tblPrEx>
          <w:tblCellMar>
            <w:top w:w="0" w:type="dxa"/>
            <w:bottom w:w="0" w:type="dxa"/>
          </w:tblCellMar>
        </w:tblPrEx>
        <w:trPr>
          <w:cantSplit/>
        </w:trPr>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507E7" w:rsidRDefault="00266C35">
            <w:pPr>
              <w:keepNext/>
              <w:keepLines/>
              <w:spacing w:after="0" w:line="240" w:lineRule="auto"/>
              <w:jc w:val="center"/>
            </w:pPr>
            <w:r>
              <w:rPr>
                <w:b/>
                <w:sz w:val="18"/>
              </w:rPr>
              <w:t>Indeks (%)</w:t>
            </w:r>
          </w:p>
        </w:tc>
      </w:tr>
      <w:tr w:rsidR="004507E7">
        <w:tblPrEx>
          <w:tblCellMar>
            <w:top w:w="0" w:type="dxa"/>
            <w:bottom w:w="0" w:type="dxa"/>
          </w:tblCellMar>
        </w:tblPrEx>
        <w:trPr>
          <w:cantSplit/>
          <w:trHeight w:val="560"/>
        </w:trPr>
        <w:tc>
          <w:tcPr>
            <w:tcW w:w="700" w:type="dxa"/>
            <w:tcMar>
              <w:top w:w="0" w:type="dxa"/>
              <w:bottom w:w="0" w:type="dxa"/>
            </w:tcMar>
            <w:vAlign w:val="center"/>
          </w:tcPr>
          <w:p w:rsidR="004507E7" w:rsidRDefault="004507E7">
            <w:pPr>
              <w:keepNext/>
              <w:keepLines/>
              <w:spacing w:after="0" w:line="240" w:lineRule="auto"/>
            </w:pPr>
          </w:p>
        </w:tc>
        <w:tc>
          <w:tcPr>
            <w:tcW w:w="3180" w:type="dxa"/>
            <w:tcMar>
              <w:top w:w="0" w:type="dxa"/>
              <w:bottom w:w="0" w:type="dxa"/>
            </w:tcMar>
            <w:vAlign w:val="center"/>
          </w:tcPr>
          <w:p w:rsidR="004507E7" w:rsidRDefault="00266C35">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4507E7" w:rsidRDefault="00266C35">
            <w:pPr>
              <w:keepNext/>
              <w:keepLines/>
              <w:spacing w:after="0" w:line="240" w:lineRule="auto"/>
            </w:pPr>
            <w:r>
              <w:rPr>
                <w:sz w:val="18"/>
              </w:rPr>
              <w:t>V007</w:t>
            </w:r>
          </w:p>
        </w:tc>
        <w:tc>
          <w:tcPr>
            <w:tcW w:w="1860" w:type="dxa"/>
            <w:tcMar>
              <w:top w:w="0" w:type="dxa"/>
              <w:bottom w:w="0" w:type="dxa"/>
            </w:tcMar>
            <w:vAlign w:val="center"/>
          </w:tcPr>
          <w:p w:rsidR="004507E7" w:rsidRDefault="00266C35">
            <w:pPr>
              <w:keepNext/>
              <w:keepLines/>
              <w:spacing w:after="0" w:line="240" w:lineRule="auto"/>
              <w:jc w:val="right"/>
            </w:pPr>
            <w:r>
              <w:rPr>
                <w:sz w:val="18"/>
              </w:rPr>
              <w:t>0,00</w:t>
            </w:r>
          </w:p>
        </w:tc>
        <w:tc>
          <w:tcPr>
            <w:tcW w:w="700" w:type="dxa"/>
            <w:tcMar>
              <w:top w:w="0" w:type="dxa"/>
              <w:bottom w:w="0" w:type="dxa"/>
            </w:tcMar>
            <w:vAlign w:val="center"/>
          </w:tcPr>
          <w:p w:rsidR="004507E7" w:rsidRDefault="00266C35">
            <w:pPr>
              <w:keepNext/>
              <w:keepLines/>
              <w:spacing w:after="0" w:line="240" w:lineRule="auto"/>
              <w:jc w:val="right"/>
            </w:pPr>
            <w:r>
              <w:rPr>
                <w:sz w:val="18"/>
              </w:rPr>
              <w:t>-</w:t>
            </w:r>
          </w:p>
        </w:tc>
      </w:tr>
    </w:tbl>
    <w:p w:rsidR="004507E7" w:rsidRDefault="004507E7">
      <w:pPr>
        <w:spacing w:after="0"/>
      </w:pPr>
    </w:p>
    <w:p w:rsidR="004507E7" w:rsidRDefault="00266C35">
      <w:r>
        <w:t>Na kraju izvještajnog razdoblja Osnovna škola Primošten nema dospjelih obveza.</w:t>
      </w:r>
    </w:p>
    <w:p w:rsidR="004507E7" w:rsidRDefault="004507E7"/>
    <w:sectPr w:rsidR="00450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E7"/>
    <w:rsid w:val="00266C35"/>
    <w:rsid w:val="004507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DDD6"/>
  <w15:docId w15:val="{3D31B184-C394-4243-8D17-3E56E4ED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5119</Characters>
  <Application>Microsoft Office Word</Application>
  <DocSecurity>4</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Bore</cp:lastModifiedBy>
  <cp:revision>2</cp:revision>
  <dcterms:created xsi:type="dcterms:W3CDTF">2026-07-13T15:36:00Z</dcterms:created>
  <dcterms:modified xsi:type="dcterms:W3CDTF">2026-07-13T15:36:00Z</dcterms:modified>
</cp:coreProperties>
</file>