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a92949f094f4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12719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PRIMOŠTEN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242.139,35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249.303,29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318.601,45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252.616,42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76.462,10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3.313,13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1.759,12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78.221,22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3.313,13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4,2</w:t>
            </w:r>
          </w:p>
        </w:tc>
      </w:tr>
    </w:tbl>
    <w:p>
      <w:pPr>
        <w:spacing w:before="0" w:after="0"/>
      </w:pPr>
    </w:p>
    <w:p>
      <w:r>
        <w:t xml:space="preserve">Osnovna škola Primošten je u promatranom izvještajnom razdoblju razdoblju  iostvarila ukupnie prihode poslovanja (šifra 6) u iznosu od 249.303.29 eura te ukupne rashode poslovanja (šifra 3) u iznosi od 252.616.42 eura. Slijedom navedenog ostvaren je manjak prihoda poslovanja (šifra Y001) u iznosu od 3.313,13 eura, a odnosi se na proknjižene, a neplaćene račune prihod za koje će stići u travnju 2025. godine. </w:t>
      </w:r>
    </w:p>
    <w:p>
      <w:r>
        <w:t xml:space="preserve">U ovom izvještajnom razdoblju nisu ostvareni primici od financijske imovine i zaduživanja niti su evidentirani izdaci za financijsku imovinu i otplate zajmova.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258.842,47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201.193,27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77,7</w:t>
            </w:r>
          </w:p>
        </w:tc>
      </w:tr>
    </w:tbl>
    <w:p>
      <w:pPr>
        <w:spacing w:before="0" w:after="0"/>
      </w:pPr>
    </w:p>
    <w:p>
      <w:r>
        <w:t xml:space="preserve">Rashodi za zaposlene u izvještajnom razdoblju tekuće godine niži su za približno 21% u odnosu na prethodnu godinu. Navedeno odstupanje posljedica je ukidanje vremenskih razgraničenja u 2025. godini. Naime, tijekom 2024, godine troškovi plaća i materijalnih prava zaposlenih evidentirani su putem konta vremenskih razgraničenja te su preneseni na teret rashoda u slijedećoj godini u kojoj je ostvaren pripadajući prihod, te je iznos troškova u 2025. godini viši za iznos plaće iz prosinca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59.758,98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51.423,15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86,1</w:t>
            </w:r>
          </w:p>
        </w:tc>
      </w:tr>
    </w:tbl>
    <w:p>
      <w:pPr>
        <w:spacing w:before="0" w:after="0"/>
      </w:pPr>
    </w:p>
    <w:p>
      <w:r>
        <w:t xml:space="preserve">Materijalni rashodi su u ovom izvještajnom razdoblju niži za 14%, a najveći razlog su službena putovanja i dnevnice zaposlenika kojih je u ovom izvještajnom razdoblju bilo manje nego prethodne godine. Ujedno je manji iznos kontinuiranih rashoda koji su kao i plaće zaposlenika u 2024. godini knjiženi preko vremenskih razgraničenja na trošak 2025. godine u kojoj je ostvaren i prihod za iste.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420,9</w:t>
            </w:r>
          </w:p>
        </w:tc>
      </w:tr>
    </w:tbl>
    <w:p>
      <w:pPr>
        <w:spacing w:before="0" w:after="0"/>
      </w:pPr>
    </w:p>
    <w:p>
      <w:r>
        <w:t xml:space="preserve">Odstupanje na stavci sitnog inventara posljedica je potrebe za nabavom dodatne opreme koja se sukladno računovodstvenim propisima evidentira kao sitni inventar, a koja je  bila nužna kako bi se redovno poslovanje moglo nesmetano odvijati.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459,2</w:t>
            </w:r>
          </w:p>
        </w:tc>
      </w:tr>
    </w:tbl>
    <w:p>
      <w:pPr>
        <w:spacing w:before="0" w:after="0"/>
      </w:pPr>
    </w:p>
    <w:p>
      <w:r>
        <w:t xml:space="preserve">Odstupanje na stavci intelektualnih usluga posljedica je potrebe istih u  višem obimu nego u prošlom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r>
        <w:t xml:space="preserve">Povećanje stavke računalnih usluga posljedica je povećanja cijene istih.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4.808,10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6.617,12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137,6</w:t>
            </w:r>
          </w:p>
        </w:tc>
      </w:tr>
    </w:tbl>
    <w:p>
      <w:pPr>
        <w:spacing w:before="0" w:after="0"/>
      </w:pPr>
    </w:p>
    <w:p>
      <w:r>
        <w:t xml:space="preserve">Povećanje troškova ostalih nespomenutih rashoda rezultat je povećanja troškova koji se nisu mogli kategorizirati kroz ostala navedena konta.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3.766,00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292,2</w:t>
            </w:r>
          </w:p>
        </w:tc>
      </w:tr>
    </w:tbl>
    <w:p>
      <w:pPr>
        <w:spacing w:before="0" w:after="0"/>
      </w:pPr>
    </w:p>
    <w:p>
      <w:r>
        <w:t xml:space="preserve">U ovom izvještajnom razdoblju je više nanaplaćenih prihoda nego i prethodnom, a razlog je kašnjenje pojedinih računa za ožujak.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995e3d413a45ff" /></Relationships>
</file>