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2b50893df45b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PRIMOŠTEN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736.741,93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788.808,56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680.203,21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810.811,42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22.002,86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15.461,84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19.454,51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41.457,37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Osnovna škola Primošten je u izvještajnom razdoblju od 01. siječnja do 30. rujna 2025. godine ostvarila ukupne prihode  u iznosu od 788.808,56 eura (šifra 6), što je za 7,1 % više nego u istom razdoblju prethodne godine.  Rashodi iznose  810.811,42 eura (šifra 3) za 19,2% više nego za isto razdoblje prethodne godine. Bilježimo porast prihoda, ali i rashoda zbog povećane osnovice za isplatu plaće, povećanih tržišnih cijena materijala i usluga potrebnih za redovno poslovanje. Škola je ostvarila manjak prihoda (šifra Y001) u iznosu od 41457,37 eura, a manjak se odnosi na plaće i materijalne troškove zaposlenika, te izlazne račune koji dospijevaju u listopadu, 2025. godine, što znači da se radi o fiktivnom manjku. Manjak prihoda od nefinancijske imovine (šifra y002) odnosi se na školske udžbenike, te nabavu uredskog namještaja i opreme.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na kontu 3237 - Intelektualne i osobne usluge u odnosu na prošlogodišnje razdoblje bilježi se zbog toga što je konto 3237 otvoren prošle godine u drugoj polovici izvještajnog razdoblja, a do tada se većina usluga knjižila na konto 32399 - ostale nespomenute usluge, gdje se u ovom izvještajnom razdoblju bilježi smanjenje.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685c0dcad24801" /></Relationships>
</file>